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18EBA" w14:textId="469EDF6F" w:rsidR="00904CFD" w:rsidRPr="000C5734" w:rsidRDefault="00904CFD" w:rsidP="00904CFD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>3GPP TSG RAN WG1 Meeting AH 1801</w:t>
      </w:r>
      <w:r w:rsidRPr="000C5734">
        <w:rPr>
          <w:lang w:val="en-US"/>
        </w:rPr>
        <w:tab/>
      </w:r>
      <w:r w:rsidRPr="00367186">
        <w:rPr>
          <w:lang w:val="en-US"/>
        </w:rPr>
        <w:t>R1-180</w:t>
      </w:r>
      <w:r w:rsidR="008A5614">
        <w:rPr>
          <w:lang w:val="en-US"/>
        </w:rPr>
        <w:t>07</w:t>
      </w:r>
      <w:r w:rsidR="00367186" w:rsidRPr="00367186">
        <w:rPr>
          <w:lang w:val="en-US"/>
        </w:rPr>
        <w:t>10</w:t>
      </w:r>
    </w:p>
    <w:p w14:paraId="000D46B9" w14:textId="77777777" w:rsidR="00904CFD" w:rsidRPr="007679B0" w:rsidRDefault="00904CFD" w:rsidP="00904CFD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185ECFD2" w14:textId="77777777" w:rsidR="00904CFD" w:rsidRPr="00CE0424" w:rsidRDefault="00904CFD" w:rsidP="00904CFD">
      <w:pPr>
        <w:pStyle w:val="3GPPHeader"/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1A2C4DE6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9E581A">
        <w:t xml:space="preserve">Corrections related </w:t>
      </w:r>
      <w:r w:rsidR="00732563">
        <w:t>to QCL</w:t>
      </w:r>
    </w:p>
    <w:p w14:paraId="00EFAC0D" w14:textId="512FDA54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9E581A">
        <w:t>7.2.</w:t>
      </w:r>
      <w:r w:rsidR="00732563">
        <w:t>3.7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F8AFB09" w14:textId="336188CC" w:rsidR="00B769D8" w:rsidRDefault="008D10E2" w:rsidP="00EA1C4F">
      <w:pPr>
        <w:pStyle w:val="BodyText"/>
      </w:pPr>
      <w:r w:rsidRPr="0036514D">
        <w:t xml:space="preserve">In this contribution, we discuss </w:t>
      </w:r>
      <w:r w:rsidR="00367186">
        <w:t xml:space="preserve">a few minor </w:t>
      </w:r>
      <w:r w:rsidR="009E581A">
        <w:t>corrections of</w:t>
      </w:r>
      <w:r>
        <w:t xml:space="preserve"> </w:t>
      </w:r>
      <w:r w:rsidRPr="0036514D">
        <w:t xml:space="preserve">aspects related </w:t>
      </w:r>
      <w:r w:rsidR="00732563">
        <w:t>to QCL.</w:t>
      </w:r>
      <w:r>
        <w:t xml:space="preserve"> </w:t>
      </w:r>
      <w:r w:rsidR="00367186">
        <w:t xml:space="preserve">Please note that most of the QCL discussion will be given by the corresponding Ericsson contributions under the beam management agenda. </w:t>
      </w:r>
    </w:p>
    <w:p w14:paraId="2243EFE3" w14:textId="6C3003AF" w:rsidR="00E76E65" w:rsidRDefault="00F14C62" w:rsidP="007B72FA">
      <w:pPr>
        <w:pStyle w:val="Heading1"/>
      </w:pPr>
      <w:r>
        <w:t xml:space="preserve">Clarifying </w:t>
      </w:r>
      <w:r w:rsidR="007B72FA">
        <w:t>corrections for TS 38.214</w:t>
      </w:r>
    </w:p>
    <w:p w14:paraId="450513BC" w14:textId="0ED3F8CC" w:rsidR="007B72FA" w:rsidRPr="005813B1" w:rsidRDefault="007B72FA" w:rsidP="005813B1">
      <w:pPr>
        <w:pStyle w:val="Reference"/>
        <w:numPr>
          <w:ilvl w:val="0"/>
          <w:numId w:val="0"/>
        </w:numPr>
        <w:rPr>
          <w:lang w:val="fr-FR"/>
        </w:rPr>
      </w:pPr>
      <w:r w:rsidRPr="005813B1">
        <w:rPr>
          <w:lang w:val="fr-FR"/>
        </w:rPr>
        <w:t xml:space="preserve">Section </w:t>
      </w:r>
      <w:r w:rsidR="005813B1">
        <w:rPr>
          <w:lang w:val="fr-FR"/>
        </w:rPr>
        <w:t xml:space="preserve">5.1.5 </w:t>
      </w:r>
      <w:proofErr w:type="spellStart"/>
      <w:r w:rsidR="005813B1">
        <w:rPr>
          <w:lang w:val="fr-FR"/>
        </w:rPr>
        <w:t>Antenna</w:t>
      </w:r>
      <w:proofErr w:type="spellEnd"/>
      <w:r w:rsidR="005813B1">
        <w:rPr>
          <w:lang w:val="fr-FR"/>
        </w:rPr>
        <w:t xml:space="preserve"> port quasi-co</w:t>
      </w:r>
      <w:r w:rsidR="005813B1" w:rsidRPr="005813B1">
        <w:rPr>
          <w:lang w:val="fr-FR"/>
        </w:rPr>
        <w:t xml:space="preserve">location </w:t>
      </w:r>
      <w:proofErr w:type="spellStart"/>
      <w:r w:rsidR="005813B1" w:rsidRPr="005813B1">
        <w:rPr>
          <w:lang w:val="fr-FR"/>
        </w:rPr>
        <w:t>con</w:t>
      </w:r>
      <w:r w:rsidR="005813B1">
        <w:rPr>
          <w:lang w:val="fr-FR"/>
        </w:rPr>
        <w:t>tains</w:t>
      </w:r>
      <w:proofErr w:type="spellEnd"/>
      <w:r w:rsidR="005813B1">
        <w:rPr>
          <w:lang w:val="fr-FR"/>
        </w:rPr>
        <w:t xml:space="preserve"> </w:t>
      </w:r>
      <w:proofErr w:type="spellStart"/>
      <w:r w:rsidR="005813B1">
        <w:rPr>
          <w:lang w:val="fr-FR"/>
        </w:rPr>
        <w:t>this</w:t>
      </w:r>
      <w:proofErr w:type="spellEnd"/>
      <w:r w:rsidR="005813B1">
        <w:rPr>
          <w:lang w:val="fr-FR"/>
        </w:rPr>
        <w:t xml:space="preserve"> sentence</w:t>
      </w:r>
    </w:p>
    <w:p w14:paraId="656CF7FE" w14:textId="5D657C50" w:rsidR="007B72FA" w:rsidRPr="005813B1" w:rsidRDefault="005813B1" w:rsidP="006E173C">
      <w:pPr>
        <w:pStyle w:val="Reference"/>
        <w:numPr>
          <w:ilvl w:val="0"/>
          <w:numId w:val="0"/>
        </w:numPr>
        <w:ind w:left="567" w:hanging="567"/>
        <w:rPr>
          <w:color w:val="4F81BD" w:themeColor="accent1"/>
        </w:rPr>
      </w:pPr>
      <w:r w:rsidRPr="005813B1">
        <w:rPr>
          <w:color w:val="4F81BD" w:themeColor="accent1"/>
        </w:rPr>
        <w:t>The UE receives a selection command [10, TS 38.321] used to map up to 8 TCI states to the codepoints of the DCI field TCI-states.</w:t>
      </w:r>
    </w:p>
    <w:p w14:paraId="3BC9304B" w14:textId="3E20F951" w:rsidR="003A7EF3" w:rsidRDefault="003A7EF3">
      <w:pPr>
        <w:pStyle w:val="Reference"/>
        <w:numPr>
          <w:ilvl w:val="0"/>
          <w:numId w:val="0"/>
        </w:numPr>
      </w:pPr>
    </w:p>
    <w:p w14:paraId="12096468" w14:textId="07D3CC6D" w:rsidR="005813B1" w:rsidRDefault="005813B1">
      <w:pPr>
        <w:pStyle w:val="Reference"/>
        <w:numPr>
          <w:ilvl w:val="0"/>
          <w:numId w:val="0"/>
        </w:numPr>
      </w:pPr>
      <w:r>
        <w:t>To align the terminology with TS 38.212 specifications and TS 38.321 specifications</w:t>
      </w:r>
      <w:r w:rsidR="00F14C62">
        <w:t xml:space="preserve"> (to be consistent, it is better to use activation command as TS 38.321 will use activation command.)</w:t>
      </w:r>
      <w:r>
        <w:t xml:space="preserve">, we </w:t>
      </w:r>
      <w:r w:rsidR="00F14C62">
        <w:t>have this proposal</w:t>
      </w:r>
    </w:p>
    <w:p w14:paraId="700AD6C8" w14:textId="65A76369" w:rsidR="005813B1" w:rsidRDefault="005813B1">
      <w:pPr>
        <w:pStyle w:val="Reference"/>
        <w:numPr>
          <w:ilvl w:val="0"/>
          <w:numId w:val="0"/>
        </w:numPr>
      </w:pPr>
    </w:p>
    <w:p w14:paraId="619D9B11" w14:textId="49CC63F3" w:rsidR="005813B1" w:rsidRDefault="005813B1" w:rsidP="005813B1">
      <w:pPr>
        <w:pStyle w:val="Proposal"/>
      </w:pPr>
      <w:r>
        <w:t>Correct the text in Section 5.1.5 of TS 38.214 as</w:t>
      </w:r>
    </w:p>
    <w:p w14:paraId="2C37FA19" w14:textId="764D5DA7" w:rsidR="005813B1" w:rsidRDefault="005813B1">
      <w:pPr>
        <w:pStyle w:val="Reference"/>
        <w:numPr>
          <w:ilvl w:val="0"/>
          <w:numId w:val="0"/>
        </w:numPr>
      </w:pPr>
    </w:p>
    <w:p w14:paraId="4E96C515" w14:textId="77777777" w:rsidR="005813B1" w:rsidRDefault="005813B1" w:rsidP="005813B1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110ED38C" w14:textId="77777777" w:rsidR="005813B1" w:rsidRDefault="005813B1">
      <w:pPr>
        <w:pStyle w:val="Reference"/>
        <w:numPr>
          <w:ilvl w:val="0"/>
          <w:numId w:val="0"/>
        </w:numPr>
      </w:pPr>
    </w:p>
    <w:p w14:paraId="5F21841C" w14:textId="238240FD" w:rsidR="005813B1" w:rsidRPr="005813B1" w:rsidRDefault="005813B1" w:rsidP="005813B1">
      <w:pPr>
        <w:pStyle w:val="Reference"/>
        <w:numPr>
          <w:ilvl w:val="0"/>
          <w:numId w:val="0"/>
        </w:numPr>
        <w:ind w:left="567" w:hanging="567"/>
      </w:pPr>
      <w:r w:rsidRPr="005813B1">
        <w:t>The UE receives</w:t>
      </w:r>
      <w:r>
        <w:t xml:space="preserve"> </w:t>
      </w:r>
      <w:r w:rsidRPr="005813B1">
        <w:rPr>
          <w:strike/>
        </w:rPr>
        <w:t>a selection</w:t>
      </w:r>
      <w:r w:rsidRPr="005813B1">
        <w:t xml:space="preserve"> </w:t>
      </w:r>
      <w:r w:rsidRPr="005813B1">
        <w:rPr>
          <w:color w:val="FF0000"/>
          <w:u w:val="single"/>
        </w:rPr>
        <w:t>an activation</w:t>
      </w:r>
      <w:r w:rsidRPr="005813B1">
        <w:rPr>
          <w:color w:val="FF0000"/>
        </w:rPr>
        <w:t xml:space="preserve"> </w:t>
      </w:r>
      <w:r w:rsidRPr="005813B1">
        <w:t xml:space="preserve">command [10, TS 38.321] used to map up to 8 TCI states to the codepoints of the DCI field </w:t>
      </w:r>
      <w:r w:rsidRPr="005813B1">
        <w:rPr>
          <w:strike/>
          <w:color w:val="000000"/>
        </w:rPr>
        <w:t>TCI-states</w:t>
      </w:r>
      <w:r w:rsidRPr="005813B1">
        <w:rPr>
          <w:rFonts w:hint="eastAsia"/>
          <w:color w:val="FF0000"/>
        </w:rPr>
        <w:t xml:space="preserve"> Transmission configuration indication</w:t>
      </w:r>
      <w:r w:rsidR="00F14C62">
        <w:rPr>
          <w:color w:val="FF0000"/>
        </w:rPr>
        <w:t>.</w:t>
      </w:r>
    </w:p>
    <w:p w14:paraId="2360FB31" w14:textId="77777777" w:rsidR="005813B1" w:rsidRDefault="005813B1">
      <w:pPr>
        <w:pStyle w:val="Reference"/>
        <w:numPr>
          <w:ilvl w:val="0"/>
          <w:numId w:val="0"/>
        </w:numPr>
      </w:pPr>
    </w:p>
    <w:p w14:paraId="50AA1B3C" w14:textId="341A49BF" w:rsidR="005813B1" w:rsidRDefault="005813B1" w:rsidP="005813B1">
      <w:r w:rsidRPr="00354010">
        <w:rPr>
          <w:highlight w:val="yellow"/>
        </w:rPr>
        <w:t xml:space="preserve">&gt;&gt;&gt;&gt;&gt;&gt;&gt;&gt;&gt;&gt;&gt;&gt; </w:t>
      </w:r>
      <w:r>
        <w:rPr>
          <w:highlight w:val="yellow"/>
        </w:rPr>
        <w:t xml:space="preserve">End </w:t>
      </w:r>
      <w:r w:rsidRPr="00354010">
        <w:rPr>
          <w:highlight w:val="yellow"/>
        </w:rPr>
        <w:t>text proposal &gt;&gt;&gt;&gt;&gt;&gt;&gt;&gt;&gt;&gt;&gt;&gt;</w:t>
      </w:r>
    </w:p>
    <w:p w14:paraId="40A2AFA1" w14:textId="2049120C" w:rsidR="005813B1" w:rsidRDefault="005813B1">
      <w:pPr>
        <w:pStyle w:val="Reference"/>
        <w:numPr>
          <w:ilvl w:val="0"/>
          <w:numId w:val="0"/>
        </w:numPr>
      </w:pPr>
    </w:p>
    <w:p w14:paraId="2E4612D4" w14:textId="18CF94E6" w:rsidR="00F14C62" w:rsidRDefault="00F14C62">
      <w:pPr>
        <w:pStyle w:val="Reference"/>
        <w:numPr>
          <w:ilvl w:val="0"/>
          <w:numId w:val="0"/>
        </w:numPr>
      </w:pPr>
    </w:p>
    <w:p w14:paraId="6E8FF0AD" w14:textId="7A544A74" w:rsidR="00F14C62" w:rsidRDefault="00F14C62">
      <w:pPr>
        <w:pStyle w:val="Reference"/>
        <w:numPr>
          <w:ilvl w:val="0"/>
          <w:numId w:val="0"/>
        </w:numPr>
      </w:pPr>
      <w:r>
        <w:t xml:space="preserve">Furthermore, these sentences are a bit </w:t>
      </w:r>
      <w:r w:rsidR="00EA64FD">
        <w:t>ambiguous</w:t>
      </w:r>
      <w:bookmarkStart w:id="0" w:name="_GoBack"/>
      <w:bookmarkEnd w:id="0"/>
    </w:p>
    <w:p w14:paraId="3E6077E4" w14:textId="77777777" w:rsidR="00F14C62" w:rsidRPr="00F14C62" w:rsidRDefault="00F14C62" w:rsidP="00F14C62">
      <w:pPr>
        <w:rPr>
          <w:color w:val="4F81BD" w:themeColor="accent1"/>
        </w:rPr>
      </w:pPr>
      <w:bookmarkStart w:id="1" w:name="_Hlk500790716"/>
      <w:bookmarkStart w:id="2" w:name="_Hlk498589824"/>
      <w:r w:rsidRPr="00F14C62">
        <w:rPr>
          <w:color w:val="4F81BD" w:themeColor="accent1"/>
        </w:rPr>
        <w:t xml:space="preserve">For both the case when </w:t>
      </w:r>
      <w:r w:rsidRPr="00F14C62">
        <w:rPr>
          <w:i/>
          <w:color w:val="4F81BD" w:themeColor="accent1"/>
        </w:rPr>
        <w:t>TCI-</w:t>
      </w:r>
      <w:proofErr w:type="spellStart"/>
      <w:r w:rsidRPr="00F14C62">
        <w:rPr>
          <w:i/>
          <w:color w:val="4F81BD" w:themeColor="accent1"/>
        </w:rPr>
        <w:t>PresentInDCI</w:t>
      </w:r>
      <w:proofErr w:type="spellEnd"/>
      <w:r w:rsidRPr="00F14C62">
        <w:rPr>
          <w:color w:val="4F81BD" w:themeColor="accent1"/>
        </w:rPr>
        <w:t xml:space="preserve"> = ‘Enabled’ and </w:t>
      </w:r>
      <w:r w:rsidRPr="00F14C62">
        <w:rPr>
          <w:i/>
          <w:color w:val="4F81BD" w:themeColor="accent1"/>
        </w:rPr>
        <w:t>TCI-</w:t>
      </w:r>
      <w:proofErr w:type="spellStart"/>
      <w:r w:rsidRPr="00F14C62">
        <w:rPr>
          <w:i/>
          <w:color w:val="4F81BD" w:themeColor="accent1"/>
        </w:rPr>
        <w:t>PresentInDCI</w:t>
      </w:r>
      <w:proofErr w:type="spellEnd"/>
      <w:r w:rsidRPr="00F14C62">
        <w:rPr>
          <w:color w:val="4F81BD" w:themeColor="accent1"/>
        </w:rPr>
        <w:t xml:space="preserve"> = ‘Disabled’ If the offset is less than a threshold, the UE may assume that the antenna ports of one DM-RS port group of PDSCH of a serving cell are quasi co-located based on the TCI state used for PDCCH quasi-colocation indication of the lowest </w:t>
      </w:r>
      <w:r w:rsidRPr="00F14C62">
        <w:rPr>
          <w:i/>
          <w:color w:val="4F81BD" w:themeColor="accent1"/>
        </w:rPr>
        <w:t>CORESET-ID</w:t>
      </w:r>
      <w:r w:rsidRPr="00F14C62">
        <w:rPr>
          <w:color w:val="4F81BD" w:themeColor="accent1"/>
        </w:rPr>
        <w:t xml:space="preserve"> in the latest slot</w:t>
      </w:r>
      <w:bookmarkEnd w:id="1"/>
      <w:r w:rsidRPr="00F14C62">
        <w:rPr>
          <w:color w:val="4F81BD" w:themeColor="accent1"/>
        </w:rPr>
        <w:t xml:space="preserve"> in which one or more CORESETs are configured for the UE.</w:t>
      </w:r>
    </w:p>
    <w:bookmarkEnd w:id="2"/>
    <w:p w14:paraId="2CD8E691" w14:textId="1EFCD7F3" w:rsidR="00F14C62" w:rsidRDefault="00F14C62" w:rsidP="00F14C62">
      <w:pPr>
        <w:pStyle w:val="Reference"/>
        <w:numPr>
          <w:ilvl w:val="0"/>
          <w:numId w:val="0"/>
        </w:numPr>
      </w:pPr>
      <w:r>
        <w:t>We have this clarifying proposal</w:t>
      </w:r>
    </w:p>
    <w:p w14:paraId="1812133B" w14:textId="77777777" w:rsidR="00F14C62" w:rsidRDefault="00F14C62" w:rsidP="00F14C62">
      <w:pPr>
        <w:pStyle w:val="Reference"/>
        <w:numPr>
          <w:ilvl w:val="0"/>
          <w:numId w:val="0"/>
        </w:numPr>
      </w:pPr>
    </w:p>
    <w:p w14:paraId="08788E03" w14:textId="77777777" w:rsidR="00F14C62" w:rsidRDefault="00F14C62" w:rsidP="00F14C62">
      <w:pPr>
        <w:pStyle w:val="Proposal"/>
      </w:pPr>
      <w:r>
        <w:t>Correct the text in Section 5.1.5 of TS 38.214 as</w:t>
      </w:r>
    </w:p>
    <w:p w14:paraId="13ECB8D2" w14:textId="77777777" w:rsidR="00F14C62" w:rsidRDefault="00F14C62" w:rsidP="00F14C62">
      <w:pPr>
        <w:pStyle w:val="Reference"/>
        <w:numPr>
          <w:ilvl w:val="0"/>
          <w:numId w:val="0"/>
        </w:numPr>
      </w:pPr>
    </w:p>
    <w:p w14:paraId="7B7B1ED0" w14:textId="77777777" w:rsidR="00F14C62" w:rsidRDefault="00F14C62" w:rsidP="00F14C62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4BB1677F" w14:textId="3A1FAB01" w:rsidR="00F14C62" w:rsidRPr="00F14C62" w:rsidRDefault="00F14C62" w:rsidP="00F14C62">
      <w:pPr>
        <w:rPr>
          <w:color w:val="000000"/>
        </w:rPr>
      </w:pPr>
      <w:r w:rsidRPr="0048482F">
        <w:rPr>
          <w:color w:val="000000"/>
        </w:rPr>
        <w:lastRenderedPageBreak/>
        <w:t xml:space="preserve">For both the case when </w:t>
      </w:r>
      <w:r w:rsidRPr="0048482F">
        <w:rPr>
          <w:i/>
          <w:color w:val="000000"/>
        </w:rPr>
        <w:t>TCI-</w:t>
      </w:r>
      <w:proofErr w:type="spellStart"/>
      <w:r w:rsidRPr="0048482F">
        <w:rPr>
          <w:i/>
          <w:color w:val="000000"/>
        </w:rPr>
        <w:t>PresentInDCI</w:t>
      </w:r>
      <w:proofErr w:type="spellEnd"/>
      <w:r w:rsidRPr="0048482F">
        <w:rPr>
          <w:color w:val="000000"/>
        </w:rPr>
        <w:t xml:space="preserve"> = ‘Enabled’ and </w:t>
      </w:r>
      <w:r w:rsidRPr="0048482F">
        <w:rPr>
          <w:i/>
          <w:color w:val="000000"/>
        </w:rPr>
        <w:t>TCI-</w:t>
      </w:r>
      <w:proofErr w:type="spellStart"/>
      <w:r w:rsidRPr="0048482F">
        <w:rPr>
          <w:i/>
          <w:color w:val="000000"/>
        </w:rPr>
        <w:t>PresentInDCI</w:t>
      </w:r>
      <w:proofErr w:type="spellEnd"/>
      <w:r w:rsidRPr="0048482F">
        <w:rPr>
          <w:color w:val="000000"/>
        </w:rPr>
        <w:t xml:space="preserve"> = ‘Disabled’ </w:t>
      </w:r>
      <w:r w:rsidRPr="00DB721A">
        <w:rPr>
          <w:strike/>
          <w:color w:val="000000"/>
        </w:rPr>
        <w:t>If</w:t>
      </w:r>
      <w:r w:rsidRPr="0048482F">
        <w:rPr>
          <w:color w:val="000000"/>
        </w:rPr>
        <w:t xml:space="preserve"> </w:t>
      </w:r>
      <w:r>
        <w:rPr>
          <w:color w:val="FF0000"/>
        </w:rPr>
        <w:t xml:space="preserve">,if </w:t>
      </w:r>
      <w:r w:rsidRPr="0048482F">
        <w:rPr>
          <w:color w:val="000000"/>
        </w:rPr>
        <w:t>the offset</w:t>
      </w:r>
      <w:r>
        <w:rPr>
          <w:color w:val="000000"/>
        </w:rPr>
        <w:t xml:space="preserve"> </w:t>
      </w:r>
      <w:r w:rsidRPr="00DB721A">
        <w:rPr>
          <w:color w:val="FF0000"/>
        </w:rPr>
        <w:t>between the reception of the DL DCI and the corresponding PDSCH</w:t>
      </w:r>
      <w:r w:rsidRPr="0048482F">
        <w:rPr>
          <w:color w:val="000000"/>
        </w:rPr>
        <w:t xml:space="preserve"> is less than </w:t>
      </w:r>
      <w:r w:rsidRPr="00DB721A">
        <w:rPr>
          <w:strike/>
          <w:color w:val="000000"/>
        </w:rPr>
        <w:t>a</w:t>
      </w:r>
      <w:r>
        <w:rPr>
          <w:strike/>
          <w:color w:val="000000"/>
        </w:rPr>
        <w:t xml:space="preserve"> </w:t>
      </w:r>
      <w:r w:rsidRPr="00DB721A">
        <w:rPr>
          <w:color w:val="FF0000"/>
        </w:rPr>
        <w:t>the</w:t>
      </w:r>
      <w:r w:rsidRPr="0048482F">
        <w:rPr>
          <w:color w:val="000000"/>
        </w:rPr>
        <w:t xml:space="preserve"> threshold</w:t>
      </w:r>
      <w:r>
        <w:rPr>
          <w:color w:val="000000"/>
        </w:rPr>
        <w:t xml:space="preserve"> </w:t>
      </w:r>
      <w:r w:rsidRPr="00DB721A">
        <w:rPr>
          <w:i/>
          <w:color w:val="FF0000"/>
        </w:rPr>
        <w:t>Threshold-Sched-Offset</w:t>
      </w:r>
      <w:r w:rsidRPr="00DB721A">
        <w:rPr>
          <w:color w:val="FF0000"/>
        </w:rPr>
        <w:t>,</w:t>
      </w:r>
      <w:r w:rsidRPr="0048482F">
        <w:rPr>
          <w:color w:val="000000"/>
        </w:rPr>
        <w:t xml:space="preserve"> the UE may assume that the antenna ports of one DM-RS port group of PDSCH of a serving cell are quasi co-located based on the TCI state used for PDCCH quasi-colocation indication of the lowest </w:t>
      </w:r>
      <w:r w:rsidRPr="0048482F">
        <w:rPr>
          <w:i/>
          <w:color w:val="000000"/>
        </w:rPr>
        <w:t>CORESET-ID</w:t>
      </w:r>
      <w:r w:rsidRPr="0048482F">
        <w:rPr>
          <w:color w:val="000000"/>
        </w:rPr>
        <w:t xml:space="preserve"> in the latest slot in which one or more CORESETs are configured for the UE.</w:t>
      </w:r>
    </w:p>
    <w:p w14:paraId="6FDC5BCF" w14:textId="77777777" w:rsidR="00F14C62" w:rsidRDefault="00F14C62" w:rsidP="00F14C62">
      <w:r w:rsidRPr="00354010">
        <w:rPr>
          <w:highlight w:val="yellow"/>
        </w:rPr>
        <w:t xml:space="preserve">&gt;&gt;&gt;&gt;&gt;&gt;&gt;&gt;&gt;&gt;&gt;&gt; </w:t>
      </w:r>
      <w:r>
        <w:rPr>
          <w:highlight w:val="yellow"/>
        </w:rPr>
        <w:t xml:space="preserve">End </w:t>
      </w:r>
      <w:r w:rsidRPr="00354010">
        <w:rPr>
          <w:highlight w:val="yellow"/>
        </w:rPr>
        <w:t>text proposal &gt;&gt;&gt;&gt;&gt;&gt;&gt;&gt;&gt;&gt;&gt;&gt;</w:t>
      </w:r>
    </w:p>
    <w:p w14:paraId="1D195236" w14:textId="77777777" w:rsidR="00F14C62" w:rsidRPr="00CE0424" w:rsidRDefault="00F14C62">
      <w:pPr>
        <w:pStyle w:val="Reference"/>
        <w:numPr>
          <w:ilvl w:val="0"/>
          <w:numId w:val="0"/>
        </w:numPr>
      </w:pPr>
    </w:p>
    <w:sectPr w:rsidR="00F14C62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47441" w14:textId="77777777" w:rsidR="000621F2" w:rsidRDefault="000621F2">
      <w:r>
        <w:separator/>
      </w:r>
    </w:p>
  </w:endnote>
  <w:endnote w:type="continuationSeparator" w:id="0">
    <w:p w14:paraId="2791DE6B" w14:textId="77777777" w:rsidR="000621F2" w:rsidRDefault="0006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54F727FA" w:rsidR="00DA1CF0" w:rsidRDefault="00DA1C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64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64F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A9A13" w14:textId="77777777" w:rsidR="000621F2" w:rsidRDefault="000621F2">
      <w:r>
        <w:separator/>
      </w:r>
    </w:p>
  </w:footnote>
  <w:footnote w:type="continuationSeparator" w:id="0">
    <w:p w14:paraId="129B3924" w14:textId="77777777" w:rsidR="000621F2" w:rsidRDefault="00062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DA1CF0" w:rsidRDefault="00DA1C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14"/>
  </w:num>
  <w:num w:numId="16">
    <w:abstractNumId w:val="31"/>
  </w:num>
  <w:num w:numId="17">
    <w:abstractNumId w:val="26"/>
  </w:num>
  <w:num w:numId="18">
    <w:abstractNumId w:val="4"/>
  </w:num>
  <w:num w:numId="19">
    <w:abstractNumId w:val="30"/>
  </w:num>
  <w:num w:numId="20">
    <w:abstractNumId w:val="7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29"/>
  </w:num>
  <w:num w:numId="26">
    <w:abstractNumId w:val="28"/>
  </w:num>
  <w:num w:numId="27">
    <w:abstractNumId w:val="27"/>
  </w:num>
  <w:num w:numId="28">
    <w:abstractNumId w:val="19"/>
  </w:num>
  <w:num w:numId="29">
    <w:abstractNumId w:val="5"/>
  </w:num>
  <w:num w:numId="30">
    <w:abstractNumId w:val="6"/>
  </w:num>
  <w:num w:numId="31">
    <w:abstractNumId w:val="8"/>
  </w:num>
  <w:num w:numId="32">
    <w:abstractNumId w:val="25"/>
  </w:num>
  <w:num w:numId="33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21F2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5632"/>
    <w:rsid w:val="00235872"/>
    <w:rsid w:val="00241559"/>
    <w:rsid w:val="002435B3"/>
    <w:rsid w:val="002451ED"/>
    <w:rsid w:val="002458EB"/>
    <w:rsid w:val="002465C9"/>
    <w:rsid w:val="00247E38"/>
    <w:rsid w:val="002500C8"/>
    <w:rsid w:val="00257543"/>
    <w:rsid w:val="002611E7"/>
    <w:rsid w:val="002617E7"/>
    <w:rsid w:val="00264228"/>
    <w:rsid w:val="00264334"/>
    <w:rsid w:val="0026473E"/>
    <w:rsid w:val="002650C6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1033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0CC5"/>
    <w:rsid w:val="002A1D4E"/>
    <w:rsid w:val="002A2869"/>
    <w:rsid w:val="002A4F9F"/>
    <w:rsid w:val="002B1994"/>
    <w:rsid w:val="002B1A1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4E4"/>
    <w:rsid w:val="003477B1"/>
    <w:rsid w:val="00356A14"/>
    <w:rsid w:val="00357380"/>
    <w:rsid w:val="003602D9"/>
    <w:rsid w:val="003604CE"/>
    <w:rsid w:val="0036056F"/>
    <w:rsid w:val="00361C2A"/>
    <w:rsid w:val="00364E64"/>
    <w:rsid w:val="00367186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7FE5"/>
    <w:rsid w:val="003C11C8"/>
    <w:rsid w:val="003C2702"/>
    <w:rsid w:val="003C2945"/>
    <w:rsid w:val="003C3069"/>
    <w:rsid w:val="003C4844"/>
    <w:rsid w:val="003C4F2A"/>
    <w:rsid w:val="003C7806"/>
    <w:rsid w:val="003D064E"/>
    <w:rsid w:val="003D109F"/>
    <w:rsid w:val="003D2275"/>
    <w:rsid w:val="003D2478"/>
    <w:rsid w:val="003D3C45"/>
    <w:rsid w:val="003D3E76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6B03"/>
    <w:rsid w:val="00537C62"/>
    <w:rsid w:val="0054282F"/>
    <w:rsid w:val="00546774"/>
    <w:rsid w:val="00546970"/>
    <w:rsid w:val="00554192"/>
    <w:rsid w:val="00554D21"/>
    <w:rsid w:val="00554E19"/>
    <w:rsid w:val="00555386"/>
    <w:rsid w:val="0056121F"/>
    <w:rsid w:val="00565404"/>
    <w:rsid w:val="00572505"/>
    <w:rsid w:val="00573920"/>
    <w:rsid w:val="00573C3B"/>
    <w:rsid w:val="00573CFD"/>
    <w:rsid w:val="00573D3D"/>
    <w:rsid w:val="00575DA6"/>
    <w:rsid w:val="005813B1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602"/>
    <w:rsid w:val="005D1746"/>
    <w:rsid w:val="005D321A"/>
    <w:rsid w:val="005D5882"/>
    <w:rsid w:val="005E385F"/>
    <w:rsid w:val="005E5B81"/>
    <w:rsid w:val="005F2CB1"/>
    <w:rsid w:val="005F3025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2563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47EA"/>
    <w:rsid w:val="00785490"/>
    <w:rsid w:val="00790B99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2FA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13C4"/>
    <w:rsid w:val="007F75D5"/>
    <w:rsid w:val="00803FAE"/>
    <w:rsid w:val="008054E8"/>
    <w:rsid w:val="00805AB5"/>
    <w:rsid w:val="0080605F"/>
    <w:rsid w:val="00806EE7"/>
    <w:rsid w:val="0080778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5614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4958"/>
    <w:rsid w:val="008C4BAA"/>
    <w:rsid w:val="008C5641"/>
    <w:rsid w:val="008C6AE8"/>
    <w:rsid w:val="008C7573"/>
    <w:rsid w:val="008D10E2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31BD9"/>
    <w:rsid w:val="00931E21"/>
    <w:rsid w:val="00935739"/>
    <w:rsid w:val="009368F3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061E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E33"/>
    <w:rsid w:val="00CB1F63"/>
    <w:rsid w:val="00CB5842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B0A9F"/>
    <w:rsid w:val="00DB377D"/>
    <w:rsid w:val="00DC2D36"/>
    <w:rsid w:val="00DC53CC"/>
    <w:rsid w:val="00DC53EF"/>
    <w:rsid w:val="00DE394D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31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7C51"/>
    <w:rsid w:val="00E707F9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FFE"/>
    <w:rsid w:val="00E94F8A"/>
    <w:rsid w:val="00EA10D0"/>
    <w:rsid w:val="00EA1C4F"/>
    <w:rsid w:val="00EA2E4C"/>
    <w:rsid w:val="00EA3879"/>
    <w:rsid w:val="00EA478D"/>
    <w:rsid w:val="00EA4B16"/>
    <w:rsid w:val="00EA64FD"/>
    <w:rsid w:val="00EA7839"/>
    <w:rsid w:val="00EA7A41"/>
    <w:rsid w:val="00EA7BCC"/>
    <w:rsid w:val="00EB077B"/>
    <w:rsid w:val="00EB168F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4C62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7D50"/>
    <w:rsid w:val="00F67F53"/>
    <w:rsid w:val="00F703BE"/>
    <w:rsid w:val="00F706CA"/>
    <w:rsid w:val="00F71F69"/>
    <w:rsid w:val="00F721D1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64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A64F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A64F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EA64FD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A64FD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A64F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A64F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A64F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A64F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A64F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64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64FD"/>
  </w:style>
  <w:style w:type="paragraph" w:styleId="TOC8">
    <w:name w:val="toc 8"/>
    <w:basedOn w:val="TOC1"/>
    <w:semiHidden/>
    <w:rsid w:val="00EA64F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A64F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A64F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64F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A64F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A64FD"/>
    <w:pPr>
      <w:ind w:left="1418" w:hanging="1418"/>
    </w:pPr>
  </w:style>
  <w:style w:type="paragraph" w:styleId="TOC3">
    <w:name w:val="toc 3"/>
    <w:basedOn w:val="TOC2"/>
    <w:semiHidden/>
    <w:rsid w:val="00EA64FD"/>
    <w:pPr>
      <w:ind w:left="1134" w:hanging="1134"/>
    </w:pPr>
  </w:style>
  <w:style w:type="paragraph" w:styleId="TOC2">
    <w:name w:val="toc 2"/>
    <w:basedOn w:val="TOC1"/>
    <w:semiHidden/>
    <w:rsid w:val="00EA64F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A64FD"/>
    <w:pPr>
      <w:ind w:left="284"/>
    </w:pPr>
  </w:style>
  <w:style w:type="paragraph" w:styleId="Index1">
    <w:name w:val="index 1"/>
    <w:basedOn w:val="Normal"/>
    <w:semiHidden/>
    <w:rsid w:val="00EA64FD"/>
    <w:pPr>
      <w:keepLines/>
      <w:spacing w:after="0"/>
    </w:pPr>
  </w:style>
  <w:style w:type="paragraph" w:styleId="DocumentMap">
    <w:name w:val="Document Map"/>
    <w:basedOn w:val="Normal"/>
    <w:semiHidden/>
    <w:rsid w:val="00EA64F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64FD"/>
    <w:pPr>
      <w:ind w:left="851"/>
    </w:pPr>
  </w:style>
  <w:style w:type="paragraph" w:styleId="ListNumber">
    <w:name w:val="List Number"/>
    <w:basedOn w:val="List"/>
    <w:rsid w:val="00EA64FD"/>
  </w:style>
  <w:style w:type="paragraph" w:styleId="List">
    <w:name w:val="List"/>
    <w:basedOn w:val="Normal"/>
    <w:rsid w:val="00EA64FD"/>
    <w:pPr>
      <w:ind w:left="568" w:hanging="284"/>
    </w:pPr>
  </w:style>
  <w:style w:type="paragraph" w:styleId="Header">
    <w:name w:val="header"/>
    <w:rsid w:val="00EA64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A64F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A64F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A64FD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A64FD"/>
    <w:pPr>
      <w:ind w:left="1418" w:hanging="1418"/>
    </w:pPr>
  </w:style>
  <w:style w:type="paragraph" w:styleId="TOC6">
    <w:name w:val="toc 6"/>
    <w:basedOn w:val="TOC5"/>
    <w:next w:val="Normal"/>
    <w:semiHidden/>
    <w:rsid w:val="00EA64FD"/>
    <w:pPr>
      <w:ind w:left="1985" w:hanging="1985"/>
    </w:pPr>
  </w:style>
  <w:style w:type="paragraph" w:styleId="TOC7">
    <w:name w:val="toc 7"/>
    <w:basedOn w:val="TOC6"/>
    <w:next w:val="Normal"/>
    <w:semiHidden/>
    <w:rsid w:val="00EA64FD"/>
    <w:pPr>
      <w:ind w:left="2268" w:hanging="2268"/>
    </w:pPr>
  </w:style>
  <w:style w:type="paragraph" w:styleId="ListBullet2">
    <w:name w:val="List Bullet 2"/>
    <w:basedOn w:val="ListBullet"/>
    <w:rsid w:val="00EA64FD"/>
    <w:pPr>
      <w:numPr>
        <w:numId w:val="6"/>
      </w:numPr>
    </w:pPr>
  </w:style>
  <w:style w:type="paragraph" w:styleId="ListBullet">
    <w:name w:val="List Bullet"/>
    <w:basedOn w:val="BodyText"/>
    <w:rsid w:val="00EA64FD"/>
    <w:pPr>
      <w:numPr>
        <w:numId w:val="5"/>
      </w:numPr>
    </w:pPr>
  </w:style>
  <w:style w:type="paragraph" w:styleId="ListBullet3">
    <w:name w:val="List Bullet 3"/>
    <w:basedOn w:val="ListBullet2"/>
    <w:rsid w:val="00EA64FD"/>
    <w:pPr>
      <w:numPr>
        <w:numId w:val="7"/>
      </w:numPr>
    </w:pPr>
  </w:style>
  <w:style w:type="paragraph" w:customStyle="1" w:styleId="EQ">
    <w:name w:val="EQ"/>
    <w:basedOn w:val="Normal"/>
    <w:next w:val="Normal"/>
    <w:rsid w:val="00EA64F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A64FD"/>
    <w:pPr>
      <w:ind w:left="851"/>
    </w:pPr>
  </w:style>
  <w:style w:type="paragraph" w:styleId="List3">
    <w:name w:val="List 3"/>
    <w:basedOn w:val="List2"/>
    <w:rsid w:val="00EA64FD"/>
    <w:pPr>
      <w:ind w:left="1135"/>
    </w:pPr>
  </w:style>
  <w:style w:type="paragraph" w:styleId="List4">
    <w:name w:val="List 4"/>
    <w:basedOn w:val="List3"/>
    <w:rsid w:val="00EA64FD"/>
    <w:pPr>
      <w:ind w:left="1418"/>
    </w:pPr>
  </w:style>
  <w:style w:type="paragraph" w:styleId="List5">
    <w:name w:val="List 5"/>
    <w:basedOn w:val="List4"/>
    <w:rsid w:val="00EA64FD"/>
    <w:pPr>
      <w:ind w:left="1702"/>
    </w:pPr>
  </w:style>
  <w:style w:type="paragraph" w:customStyle="1" w:styleId="EditorsNote">
    <w:name w:val="Editor's Note"/>
    <w:basedOn w:val="Normal"/>
    <w:rsid w:val="00EA64F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A64FD"/>
    <w:pPr>
      <w:numPr>
        <w:numId w:val="8"/>
      </w:numPr>
    </w:pPr>
  </w:style>
  <w:style w:type="paragraph" w:styleId="ListBullet5">
    <w:name w:val="List Bullet 5"/>
    <w:basedOn w:val="ListBullet4"/>
    <w:rsid w:val="00EA64FD"/>
    <w:pPr>
      <w:numPr>
        <w:numId w:val="4"/>
      </w:numPr>
    </w:pPr>
  </w:style>
  <w:style w:type="paragraph" w:styleId="Footer">
    <w:name w:val="footer"/>
    <w:basedOn w:val="Header"/>
    <w:semiHidden/>
    <w:rsid w:val="00EA64FD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EA64FD"/>
    <w:pPr>
      <w:numPr>
        <w:numId w:val="2"/>
      </w:numPr>
    </w:pPr>
  </w:style>
  <w:style w:type="paragraph" w:styleId="BalloonText">
    <w:name w:val="Balloon Text"/>
    <w:basedOn w:val="Normal"/>
    <w:semiHidden/>
    <w:rsid w:val="00EA64F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A64FD"/>
  </w:style>
  <w:style w:type="paragraph" w:styleId="BodyText">
    <w:name w:val="Body Text"/>
    <w:basedOn w:val="Normal"/>
    <w:link w:val="BodyTextChar"/>
    <w:qFormat/>
    <w:rsid w:val="00EA64FD"/>
  </w:style>
  <w:style w:type="character" w:styleId="Hyperlink">
    <w:name w:val="Hyperlink"/>
    <w:uiPriority w:val="99"/>
    <w:rsid w:val="00EA64FD"/>
    <w:rPr>
      <w:color w:val="0000FF"/>
      <w:u w:val="single"/>
      <w:lang w:val="en-GB"/>
    </w:rPr>
  </w:style>
  <w:style w:type="character" w:styleId="FollowedHyperlink">
    <w:name w:val="FollowedHyperlink"/>
    <w:semiHidden/>
    <w:rsid w:val="00EA64FD"/>
    <w:rPr>
      <w:color w:val="FF0000"/>
      <w:u w:val="single"/>
    </w:rPr>
  </w:style>
  <w:style w:type="character" w:styleId="CommentReference">
    <w:name w:val="annotation reference"/>
    <w:rsid w:val="00EA6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64FD"/>
  </w:style>
  <w:style w:type="paragraph" w:styleId="CommentSubject">
    <w:name w:val="annotation subject"/>
    <w:basedOn w:val="CommentText"/>
    <w:next w:val="CommentText"/>
    <w:semiHidden/>
    <w:rsid w:val="00EA64FD"/>
    <w:rPr>
      <w:b/>
      <w:bCs/>
    </w:rPr>
  </w:style>
  <w:style w:type="character" w:customStyle="1" w:styleId="Heading1Char">
    <w:name w:val="Heading 1 Char"/>
    <w:link w:val="Heading1"/>
    <w:rsid w:val="00EA64FD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EA64F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EA64F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A64F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A64F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A64F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64FD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A64F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A64F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A64FD"/>
    <w:pPr>
      <w:spacing w:after="0"/>
    </w:pPr>
  </w:style>
  <w:style w:type="paragraph" w:customStyle="1" w:styleId="TAL">
    <w:name w:val="TAL"/>
    <w:basedOn w:val="Normal"/>
    <w:rsid w:val="00EA64F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EA64FD"/>
    <w:pPr>
      <w:jc w:val="center"/>
    </w:pPr>
  </w:style>
  <w:style w:type="paragraph" w:customStyle="1" w:styleId="TAH">
    <w:name w:val="TAH"/>
    <w:basedOn w:val="TAC"/>
    <w:link w:val="TAHCar"/>
    <w:rsid w:val="00EA64FD"/>
    <w:rPr>
      <w:b/>
    </w:rPr>
  </w:style>
  <w:style w:type="paragraph" w:customStyle="1" w:styleId="TAN">
    <w:name w:val="TAN"/>
    <w:basedOn w:val="TAL"/>
    <w:rsid w:val="00EA64FD"/>
    <w:pPr>
      <w:ind w:left="851" w:hanging="851"/>
    </w:pPr>
  </w:style>
  <w:style w:type="paragraph" w:customStyle="1" w:styleId="TAR">
    <w:name w:val="TAR"/>
    <w:basedOn w:val="TAL"/>
    <w:rsid w:val="00EA64FD"/>
    <w:pPr>
      <w:jc w:val="right"/>
    </w:pPr>
  </w:style>
  <w:style w:type="paragraph" w:customStyle="1" w:styleId="TH">
    <w:name w:val="TH"/>
    <w:basedOn w:val="Normal"/>
    <w:link w:val="THChar"/>
    <w:rsid w:val="00EA64F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A64F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64F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A64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64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64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A64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A64FD"/>
  </w:style>
  <w:style w:type="paragraph" w:customStyle="1" w:styleId="ZH">
    <w:name w:val="ZH"/>
    <w:rsid w:val="00EA64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A64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A64F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64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64FD"/>
    <w:pPr>
      <w:framePr w:wrap="notBeside" w:y="16161"/>
    </w:pPr>
  </w:style>
  <w:style w:type="paragraph" w:customStyle="1" w:styleId="FP">
    <w:name w:val="FP"/>
    <w:basedOn w:val="Normal"/>
    <w:rsid w:val="00EA64F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A64F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A64FD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A64FD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0FBA9AF-19CF-4051-9B90-89CC365D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</cp:lastModifiedBy>
  <cp:revision>3</cp:revision>
  <cp:lastPrinted>2008-01-31T15:09:00Z</cp:lastPrinted>
  <dcterms:created xsi:type="dcterms:W3CDTF">2018-01-12T12:54:00Z</dcterms:created>
  <dcterms:modified xsi:type="dcterms:W3CDTF">2018-01-13T03:18:00Z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